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1CD" w:rsidRPr="00B63C58" w:rsidRDefault="004661CD" w:rsidP="004661CD">
      <w:pPr>
        <w:jc w:val="center"/>
        <w:rPr>
          <w:b/>
        </w:rPr>
      </w:pPr>
      <w:r w:rsidRPr="00B63C58">
        <w:rPr>
          <w:rFonts w:ascii="仿宋_GB2312" w:eastAsia="仿宋_GB2312" w:hAnsi="Calibri" w:cs="Times New Roman" w:hint="eastAsia"/>
          <w:b/>
          <w:bCs/>
          <w:sz w:val="32"/>
          <w:szCs w:val="24"/>
        </w:rPr>
        <w:t>提案</w:t>
      </w:r>
      <w:r w:rsidRPr="00B63C58">
        <w:rPr>
          <w:rFonts w:ascii="仿宋_GB2312" w:eastAsia="仿宋_GB2312" w:hAnsi="Helvetica" w:cs="Helvetica"/>
          <w:b/>
          <w:color w:val="333333"/>
          <w:sz w:val="32"/>
          <w:szCs w:val="32"/>
          <w:shd w:val="clear" w:color="auto" w:fill="FFFFFF"/>
        </w:rPr>
        <w:t>第</w:t>
      </w:r>
      <w:r w:rsidR="005220A2" w:rsidRPr="00B63C58">
        <w:rPr>
          <w:rFonts w:ascii="仿宋_GB2312" w:eastAsia="仿宋_GB2312" w:hAnsi="Calibri" w:cs="Times New Roman" w:hint="eastAsia"/>
          <w:b/>
          <w:bCs/>
          <w:sz w:val="32"/>
          <w:szCs w:val="24"/>
        </w:rPr>
        <w:t>20190808</w:t>
      </w:r>
      <w:r w:rsidRPr="00B63C58">
        <w:rPr>
          <w:rFonts w:ascii="仿宋_GB2312" w:eastAsia="仿宋_GB2312" w:hAnsi="Helvetica" w:cs="Helvetica"/>
          <w:b/>
          <w:color w:val="333333"/>
          <w:sz w:val="32"/>
          <w:szCs w:val="32"/>
          <w:shd w:val="clear" w:color="auto" w:fill="FFFFFF"/>
        </w:rPr>
        <w:t>号</w:t>
      </w:r>
    </w:p>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6804"/>
      </w:tblGrid>
      <w:tr w:rsidR="000D41E6" w:rsidTr="00AD26F5">
        <w:trPr>
          <w:trHeight w:val="541"/>
        </w:trPr>
        <w:tc>
          <w:tcPr>
            <w:tcW w:w="1418" w:type="dxa"/>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tcPr>
          <w:p w:rsidR="000D41E6" w:rsidRPr="005220A2" w:rsidRDefault="005220A2" w:rsidP="005220A2">
            <w:pPr>
              <w:autoSpaceDE w:val="0"/>
              <w:autoSpaceDN w:val="0"/>
              <w:adjustRightInd w:val="0"/>
              <w:spacing w:after="200" w:line="276" w:lineRule="auto"/>
              <w:rPr>
                <w:rFonts w:ascii="华文仿宋" w:eastAsia="华文仿宋" w:hAnsi="华文仿宋"/>
                <w:sz w:val="28"/>
                <w:szCs w:val="28"/>
              </w:rPr>
            </w:pPr>
            <w:r w:rsidRPr="005220A2">
              <w:rPr>
                <w:rFonts w:ascii="华文仿宋" w:eastAsia="华文仿宋" w:hAnsi="华文仿宋" w:hint="eastAsia"/>
                <w:sz w:val="28"/>
                <w:szCs w:val="28"/>
              </w:rPr>
              <w:t>优化涉外</w:t>
            </w:r>
            <w:bookmarkStart w:id="0" w:name="_GoBack"/>
            <w:bookmarkEnd w:id="0"/>
            <w:r w:rsidRPr="005220A2">
              <w:rPr>
                <w:rFonts w:ascii="华文仿宋" w:eastAsia="华文仿宋" w:hAnsi="华文仿宋" w:hint="eastAsia"/>
                <w:sz w:val="28"/>
                <w:szCs w:val="28"/>
              </w:rPr>
              <w:t>服务环境提升城市国际化水平的建议</w:t>
            </w:r>
          </w:p>
        </w:tc>
      </w:tr>
      <w:tr w:rsidR="000D41E6" w:rsidTr="00AD26F5">
        <w:trPr>
          <w:trHeight w:val="566"/>
        </w:trPr>
        <w:tc>
          <w:tcPr>
            <w:tcW w:w="1418" w:type="dxa"/>
          </w:tcPr>
          <w:p w:rsidR="000D41E6" w:rsidRDefault="000D41E6" w:rsidP="000D41E6">
            <w:pPr>
              <w:tabs>
                <w:tab w:val="left" w:pos="810"/>
              </w:tabs>
            </w:pPr>
            <w:r>
              <w:rPr>
                <w:rFonts w:ascii="黑体" w:eastAsia="黑体" w:hint="eastAsia"/>
                <w:sz w:val="28"/>
              </w:rPr>
              <w:t>提 出 人：</w:t>
            </w:r>
          </w:p>
        </w:tc>
        <w:tc>
          <w:tcPr>
            <w:tcW w:w="6804" w:type="dxa"/>
          </w:tcPr>
          <w:p w:rsidR="000D41E6" w:rsidRPr="000D41E6" w:rsidRDefault="005220A2">
            <w:pPr>
              <w:rPr>
                <w:rFonts w:ascii="华文仿宋" w:eastAsia="华文仿宋" w:hAnsi="华文仿宋"/>
                <w:sz w:val="28"/>
                <w:szCs w:val="28"/>
              </w:rPr>
            </w:pPr>
            <w:r>
              <w:rPr>
                <w:rFonts w:ascii="华文仿宋" w:eastAsia="华文仿宋" w:hAnsi="华文仿宋" w:hint="eastAsia"/>
                <w:sz w:val="28"/>
                <w:szCs w:val="28"/>
              </w:rPr>
              <w:t>刘根森</w:t>
            </w:r>
          </w:p>
        </w:tc>
      </w:tr>
      <w:tr w:rsidR="000D41E6" w:rsidTr="00AD26F5">
        <w:trPr>
          <w:trHeight w:val="621"/>
        </w:trPr>
        <w:tc>
          <w:tcPr>
            <w:tcW w:w="1418" w:type="dxa"/>
          </w:tcPr>
          <w:p w:rsidR="000D41E6" w:rsidRDefault="000D41E6">
            <w:r>
              <w:rPr>
                <w:rFonts w:ascii="黑体" w:eastAsia="黑体" w:hint="eastAsia"/>
                <w:sz w:val="28"/>
              </w:rPr>
              <w:t>办理类型：</w:t>
            </w:r>
          </w:p>
        </w:tc>
        <w:tc>
          <w:tcPr>
            <w:tcW w:w="6804" w:type="dxa"/>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r w:rsidR="004661CD">
              <w:rPr>
                <w:rFonts w:ascii="华文仿宋" w:eastAsia="华文仿宋" w:hAnsi="华文仿宋" w:hint="eastAsia"/>
                <w:sz w:val="28"/>
                <w:szCs w:val="28"/>
              </w:rPr>
              <w:t xml:space="preserve"> </w:t>
            </w:r>
          </w:p>
        </w:tc>
      </w:tr>
      <w:tr w:rsidR="000D41E6" w:rsidTr="00AD26F5">
        <w:trPr>
          <w:trHeight w:val="675"/>
        </w:trPr>
        <w:tc>
          <w:tcPr>
            <w:tcW w:w="1418" w:type="dxa"/>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市委外办</w:t>
            </w:r>
          </w:p>
        </w:tc>
      </w:tr>
      <w:tr w:rsidR="00C542F7" w:rsidRPr="000D41E6" w:rsidTr="00474338">
        <w:trPr>
          <w:trHeight w:val="675"/>
        </w:trPr>
        <w:tc>
          <w:tcPr>
            <w:tcW w:w="1418" w:type="dxa"/>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会办单位：</w:t>
            </w:r>
          </w:p>
        </w:tc>
        <w:tc>
          <w:tcPr>
            <w:tcW w:w="6804" w:type="dxa"/>
          </w:tcPr>
          <w:p w:rsidR="00C542F7" w:rsidRPr="000D41E6" w:rsidRDefault="00B63C58" w:rsidP="00474338">
            <w:pPr>
              <w:rPr>
                <w:rFonts w:ascii="华文仿宋" w:eastAsia="华文仿宋" w:hAnsi="华文仿宋"/>
                <w:sz w:val="28"/>
                <w:szCs w:val="28"/>
              </w:rPr>
            </w:pPr>
            <w:r w:rsidRPr="00B63C58">
              <w:rPr>
                <w:rFonts w:ascii="华文仿宋" w:eastAsia="华文仿宋" w:hAnsi="华文仿宋" w:hint="eastAsia"/>
                <w:sz w:val="28"/>
                <w:szCs w:val="28"/>
              </w:rPr>
              <w:t>市公安局,市科技创新委员会,市交通运输局,市政务服务数据管理局,市教育局,市卫生健康委员会</w:t>
            </w:r>
          </w:p>
        </w:tc>
      </w:tr>
      <w:tr w:rsidR="004C0288" w:rsidTr="00AD26F5">
        <w:trPr>
          <w:trHeight w:val="573"/>
        </w:trPr>
        <w:tc>
          <w:tcPr>
            <w:tcW w:w="8222" w:type="dxa"/>
            <w:gridSpan w:val="2"/>
          </w:tcPr>
          <w:p w:rsidR="004C0288" w:rsidRDefault="004C0288" w:rsidP="00B63C58">
            <w:pPr>
              <w:autoSpaceDE w:val="0"/>
              <w:autoSpaceDN w:val="0"/>
              <w:adjustRightInd w:val="0"/>
              <w:spacing w:after="200" w:line="276" w:lineRule="auto"/>
              <w:rPr>
                <w:rFonts w:ascii="黑体" w:eastAsia="黑体"/>
                <w:sz w:val="28"/>
              </w:rPr>
            </w:pPr>
            <w:r>
              <w:rPr>
                <w:rFonts w:ascii="黑体" w:eastAsia="黑体" w:hint="eastAsia"/>
                <w:sz w:val="28"/>
              </w:rPr>
              <w:t>内    容：</w:t>
            </w:r>
            <w:r w:rsidR="00B63C58">
              <w:rPr>
                <w:rFonts w:ascii="黑体" w:eastAsia="黑体" w:hint="eastAsia"/>
                <w:sz w:val="28"/>
              </w:rPr>
              <w:t xml:space="preserve"> </w:t>
            </w:r>
          </w:p>
          <w:p w:rsidR="00B63C58" w:rsidRPr="00B63C58" w:rsidRDefault="00B63C58" w:rsidP="00B63C58">
            <w:pPr>
              <w:ind w:firstLineChars="200" w:firstLine="560"/>
              <w:rPr>
                <w:rFonts w:ascii="华文仿宋" w:eastAsia="华文仿宋" w:hAnsi="华文仿宋"/>
                <w:sz w:val="28"/>
                <w:szCs w:val="28"/>
              </w:rPr>
            </w:pPr>
            <w:r w:rsidRPr="00B63C58">
              <w:rPr>
                <w:rFonts w:ascii="华文仿宋" w:eastAsia="华文仿宋" w:hAnsi="华文仿宋" w:hint="eastAsia"/>
                <w:sz w:val="28"/>
                <w:szCs w:val="28"/>
              </w:rPr>
              <w:t>深圳未来要当好大湾区的科技龙头和核心引擎功能，持续引进大量海内外专业人才，不断夯实深圳的人才科技队伍尤为关键。因此，深圳未来需要持续优化海外人才服务，积极推动深圳从国内移民城市向国际移民城市发展，重点推进国际化街区建设，打造与国际接轨的社会生活环境和语言环境。</w:t>
            </w:r>
          </w:p>
          <w:p w:rsidR="00B63C58" w:rsidRPr="00B63C58" w:rsidRDefault="00B63C58" w:rsidP="00B63C58">
            <w:pPr>
              <w:ind w:firstLineChars="200" w:firstLine="560"/>
              <w:rPr>
                <w:rFonts w:ascii="华文仿宋" w:eastAsia="华文仿宋" w:hAnsi="华文仿宋"/>
                <w:sz w:val="28"/>
                <w:szCs w:val="28"/>
              </w:rPr>
            </w:pPr>
            <w:r w:rsidRPr="00B63C58">
              <w:rPr>
                <w:rFonts w:ascii="华文仿宋" w:eastAsia="华文仿宋" w:hAnsi="华文仿宋" w:hint="eastAsia"/>
                <w:sz w:val="28"/>
                <w:szCs w:val="28"/>
              </w:rPr>
              <w:t>根据深圳国际化街区的《实施意见》，未来深圳建设国际化街区的目标分三步走：到2022年，建成首批15个国际化街区；到2025年，形成深圳市国际化街区网络；到2030年，国际化街区成为深圳新时期国际化城市建设的重要基础，集聚全球先进技术、生产要素与高端人才。</w:t>
            </w:r>
          </w:p>
          <w:p w:rsidR="00B63C58" w:rsidRPr="00B63C58" w:rsidRDefault="00B63C58" w:rsidP="00B63C58">
            <w:pPr>
              <w:ind w:firstLineChars="200" w:firstLine="560"/>
              <w:rPr>
                <w:rFonts w:ascii="华文仿宋" w:eastAsia="华文仿宋" w:hAnsi="华文仿宋"/>
                <w:sz w:val="28"/>
                <w:szCs w:val="28"/>
              </w:rPr>
            </w:pPr>
            <w:r w:rsidRPr="00B63C58">
              <w:rPr>
                <w:rFonts w:ascii="华文仿宋" w:eastAsia="华文仿宋" w:hAnsi="华文仿宋" w:hint="eastAsia"/>
                <w:sz w:val="28"/>
                <w:szCs w:val="28"/>
              </w:rPr>
              <w:t xml:space="preserve"> 然而，深圳国际化社区建设的征途上，和街区建设等硬件相比，更大的难点在于“软件”，也就是不断优化和提高涉外服务水准，特别是提高医疗、教育、信息、社区生活等公共服务和管理的国际化</w:t>
            </w:r>
            <w:r w:rsidRPr="00B63C58">
              <w:rPr>
                <w:rFonts w:ascii="华文仿宋" w:eastAsia="华文仿宋" w:hAnsi="华文仿宋" w:hint="eastAsia"/>
                <w:sz w:val="28"/>
                <w:szCs w:val="28"/>
              </w:rPr>
              <w:lastRenderedPageBreak/>
              <w:t>水平，向世界展示深圳海纳百川的人文情怀，不断提升城市的亲和力，真正让外籍人士在深圳找到家一般的感觉。具体我提出如下几点建议：</w:t>
            </w:r>
          </w:p>
          <w:p w:rsidR="00B63C58" w:rsidRPr="00B63C58" w:rsidRDefault="00B63C58" w:rsidP="00B63C58">
            <w:pPr>
              <w:ind w:firstLineChars="200" w:firstLine="560"/>
              <w:rPr>
                <w:rFonts w:ascii="华文仿宋" w:eastAsia="华文仿宋" w:hAnsi="华文仿宋"/>
                <w:sz w:val="28"/>
                <w:szCs w:val="28"/>
              </w:rPr>
            </w:pPr>
            <w:r w:rsidRPr="00B63C58">
              <w:rPr>
                <w:rFonts w:ascii="华文仿宋" w:eastAsia="华文仿宋" w:hAnsi="华文仿宋" w:hint="eastAsia"/>
                <w:sz w:val="28"/>
                <w:szCs w:val="28"/>
              </w:rPr>
              <w:t>一、由政府相关部门牵头，成立涉外服务的专家团队，通过专题研讨会、座谈会、深度调研等方式，对</w:t>
            </w:r>
            <w:proofErr w:type="gramStart"/>
            <w:r w:rsidRPr="00B63C58">
              <w:rPr>
                <w:rFonts w:ascii="华文仿宋" w:eastAsia="华文仿宋" w:hAnsi="华文仿宋" w:hint="eastAsia"/>
                <w:sz w:val="28"/>
                <w:szCs w:val="28"/>
              </w:rPr>
              <w:t>标国际</w:t>
            </w:r>
            <w:proofErr w:type="gramEnd"/>
            <w:r w:rsidRPr="00B63C58">
              <w:rPr>
                <w:rFonts w:ascii="华文仿宋" w:eastAsia="华文仿宋" w:hAnsi="华文仿宋" w:hint="eastAsia"/>
                <w:sz w:val="28"/>
                <w:szCs w:val="28"/>
              </w:rPr>
              <w:t>先进做法，不断探索和完善我市涉外服务的相关标准和流程。专家团队应包涵相关领域的专家、学者，长期在我国及本市居住、生活的外籍人士，国际相关领域的权威专家，通过深入探讨和调研，结合产业规划、营商环境、人才引进等要素，制订符合我市特点的涉外服务涵括的领域、标准及推进时间进度安排。</w:t>
            </w:r>
          </w:p>
          <w:p w:rsidR="00B63C58" w:rsidRPr="00B63C58" w:rsidRDefault="00B63C58" w:rsidP="00B63C58">
            <w:pPr>
              <w:ind w:firstLineChars="200" w:firstLine="560"/>
              <w:rPr>
                <w:rFonts w:ascii="华文仿宋" w:eastAsia="华文仿宋" w:hAnsi="华文仿宋"/>
                <w:sz w:val="28"/>
                <w:szCs w:val="28"/>
              </w:rPr>
            </w:pPr>
            <w:r w:rsidRPr="00B63C58">
              <w:rPr>
                <w:rFonts w:ascii="华文仿宋" w:eastAsia="华文仿宋" w:hAnsi="华文仿宋" w:hint="eastAsia"/>
                <w:sz w:val="28"/>
                <w:szCs w:val="28"/>
              </w:rPr>
              <w:t>二、简化出入境手续和居留便利化。按照公安部在国家有关自贸区推出的</w:t>
            </w:r>
            <w:r w:rsidRPr="00B63C58">
              <w:rPr>
                <w:rFonts w:ascii="华文仿宋" w:eastAsia="华文仿宋" w:hAnsi="华文仿宋"/>
                <w:sz w:val="28"/>
                <w:szCs w:val="28"/>
              </w:rPr>
              <w:t>7</w:t>
            </w:r>
            <w:r w:rsidRPr="00B63C58">
              <w:rPr>
                <w:rFonts w:ascii="华文仿宋" w:eastAsia="华文仿宋" w:hAnsi="华文仿宋" w:hint="eastAsia"/>
                <w:sz w:val="28"/>
                <w:szCs w:val="28"/>
              </w:rPr>
              <w:t>项出入境政策措施，为四类外籍人员（外籍高端人才、长期在深工作人员、外籍华人、外籍留学生及外籍学生）提供便利。出入境接待大厅实施非工作日周六（法定节假日除外）办证和</w:t>
            </w:r>
            <w:r w:rsidRPr="00B63C58">
              <w:rPr>
                <w:rFonts w:ascii="华文仿宋" w:eastAsia="华文仿宋" w:hAnsi="华文仿宋"/>
                <w:sz w:val="28"/>
                <w:szCs w:val="28"/>
              </w:rPr>
              <w:t>24</w:t>
            </w:r>
            <w:r w:rsidRPr="00B63C58">
              <w:rPr>
                <w:rFonts w:ascii="华文仿宋" w:eastAsia="华文仿宋" w:hAnsi="华文仿宋" w:hint="eastAsia"/>
                <w:sz w:val="28"/>
                <w:szCs w:val="28"/>
              </w:rPr>
              <w:t>小时自助服务，在外籍人士聚居区设立服务站，申请签证、办理停留和居留证件及外国人来华邀请函尽可能缩短时间，同时开通绿色通道，急事急办、</w:t>
            </w:r>
            <w:proofErr w:type="gramStart"/>
            <w:r w:rsidRPr="00B63C58">
              <w:rPr>
                <w:rFonts w:ascii="华文仿宋" w:eastAsia="华文仿宋" w:hAnsi="华文仿宋" w:hint="eastAsia"/>
                <w:sz w:val="28"/>
                <w:szCs w:val="28"/>
              </w:rPr>
              <w:t>特</w:t>
            </w:r>
            <w:proofErr w:type="gramEnd"/>
            <w:r w:rsidRPr="00B63C58">
              <w:rPr>
                <w:rFonts w:ascii="华文仿宋" w:eastAsia="华文仿宋" w:hAnsi="华文仿宋" w:hint="eastAsia"/>
                <w:sz w:val="28"/>
                <w:szCs w:val="28"/>
              </w:rPr>
              <w:t>事特办。建立外籍人士居留服务管理信息平台。</w:t>
            </w:r>
          </w:p>
          <w:p w:rsidR="00B63C58" w:rsidRPr="00B63C58" w:rsidRDefault="00B63C58" w:rsidP="00B63C58">
            <w:pPr>
              <w:ind w:firstLineChars="200" w:firstLine="560"/>
              <w:rPr>
                <w:rFonts w:ascii="华文仿宋" w:eastAsia="华文仿宋" w:hAnsi="华文仿宋"/>
                <w:sz w:val="28"/>
                <w:szCs w:val="28"/>
              </w:rPr>
            </w:pPr>
            <w:r w:rsidRPr="00B63C58">
              <w:rPr>
                <w:rFonts w:ascii="华文仿宋" w:eastAsia="华文仿宋" w:hAnsi="华文仿宋" w:hint="eastAsia"/>
                <w:sz w:val="28"/>
                <w:szCs w:val="28"/>
              </w:rPr>
              <w:t>三、优化国际语言环境，普及公共场所双语言及多种语言交流。在我市涉外窗口普及英语甚至多语种，实现信息英文及多语种发布，利用3—5年时间使涉外公职人员掌握英文及其他主要语种；鼓励驻深外籍人士子女学校开展多种形式的中文学习，支持部分学校设立免费中文培训。建立涉外网站、手机APP和</w:t>
            </w:r>
            <w:proofErr w:type="gramStart"/>
            <w:r w:rsidRPr="00B63C58">
              <w:rPr>
                <w:rFonts w:ascii="华文仿宋" w:eastAsia="华文仿宋" w:hAnsi="华文仿宋" w:hint="eastAsia"/>
                <w:sz w:val="28"/>
                <w:szCs w:val="28"/>
              </w:rPr>
              <w:t>微信公众号</w:t>
            </w:r>
            <w:proofErr w:type="gramEnd"/>
            <w:r w:rsidRPr="00B63C58">
              <w:rPr>
                <w:rFonts w:ascii="华文仿宋" w:eastAsia="华文仿宋" w:hAnsi="华文仿宋" w:hint="eastAsia"/>
                <w:sz w:val="28"/>
                <w:szCs w:val="28"/>
              </w:rPr>
              <w:t>，提供居住、</w:t>
            </w:r>
            <w:r w:rsidRPr="00B63C58">
              <w:rPr>
                <w:rFonts w:ascii="华文仿宋" w:eastAsia="华文仿宋" w:hAnsi="华文仿宋" w:hint="eastAsia"/>
                <w:sz w:val="28"/>
                <w:szCs w:val="28"/>
              </w:rPr>
              <w:lastRenderedPageBreak/>
              <w:t>旅游、就业、就医、入学、购物、娱乐等实用信息；提高机场、高铁站、港口、公交车站多语种服务能力，提供出租车计价器中英文提示服务，统一规范城区道路交通指示牌、路名牌的外文标注，力求做到外籍人士在深大型公共设施及外籍人士聚集区实习无障碍沟通。</w:t>
            </w:r>
          </w:p>
          <w:p w:rsidR="004661CD" w:rsidRPr="004661CD" w:rsidRDefault="00B63C58" w:rsidP="00B63C58">
            <w:pPr>
              <w:ind w:firstLineChars="200" w:firstLine="560"/>
              <w:rPr>
                <w:rFonts w:ascii="华文仿宋" w:eastAsia="华文仿宋" w:hAnsi="华文仿宋"/>
                <w:sz w:val="28"/>
                <w:szCs w:val="28"/>
              </w:rPr>
            </w:pPr>
            <w:r w:rsidRPr="00B63C58">
              <w:rPr>
                <w:rFonts w:ascii="华文仿宋" w:eastAsia="华文仿宋" w:hAnsi="华文仿宋" w:hint="eastAsia"/>
                <w:sz w:val="28"/>
                <w:szCs w:val="28"/>
              </w:rPr>
              <w:t>四、提升涉外服务的国际化水准，教育和医疗是最为关注的两个领域。支持办好国际学校，落实涉外子女入园入学有关政策，制订好规划，按照目前在深外籍人士总数量及未来需求增长，按照比例配比一定数量国际学校；根据需求估计，在我市创设一定数量国际医疗中心，在外籍人士居住较集中的区域设立涉外社区医院，优化外籍人士就诊流程，制作《外籍人士就诊服务手册》，方便外籍人士在我市的医疗预约、咨询和接诊服务。</w:t>
            </w:r>
          </w:p>
        </w:tc>
      </w:tr>
      <w:tr w:rsidR="000D41E6" w:rsidTr="00AD26F5">
        <w:trPr>
          <w:trHeight w:val="882"/>
        </w:trPr>
        <w:tc>
          <w:tcPr>
            <w:tcW w:w="8222" w:type="dxa"/>
            <w:gridSpan w:val="2"/>
          </w:tcPr>
          <w:p w:rsidR="000D41E6" w:rsidRPr="00B63C58" w:rsidRDefault="000D41E6" w:rsidP="004661CD">
            <w:pPr>
              <w:rPr>
                <w:rFonts w:ascii="华文仿宋" w:eastAsia="华文仿宋" w:hAnsi="华文仿宋"/>
                <w:sz w:val="28"/>
                <w:szCs w:val="28"/>
              </w:rPr>
            </w:pPr>
          </w:p>
        </w:tc>
      </w:tr>
      <w:tr w:rsidR="00793158" w:rsidRPr="000D41E6" w:rsidTr="00AD26F5">
        <w:trPr>
          <w:trHeight w:val="573"/>
        </w:trPr>
        <w:tc>
          <w:tcPr>
            <w:tcW w:w="8222" w:type="dxa"/>
            <w:gridSpan w:val="2"/>
          </w:tcPr>
          <w:p w:rsidR="00793158" w:rsidRPr="000D41E6" w:rsidRDefault="00793158" w:rsidP="008E4222">
            <w:pPr>
              <w:rPr>
                <w:rFonts w:ascii="华文仿宋" w:eastAsia="华文仿宋" w:hAnsi="华文仿宋"/>
                <w:sz w:val="28"/>
                <w:szCs w:val="28"/>
              </w:rPr>
            </w:pPr>
          </w:p>
        </w:tc>
      </w:tr>
      <w:tr w:rsidR="00793158" w:rsidRPr="000D41E6" w:rsidTr="00AD26F5">
        <w:trPr>
          <w:trHeight w:val="882"/>
        </w:trPr>
        <w:tc>
          <w:tcPr>
            <w:tcW w:w="8222" w:type="dxa"/>
            <w:gridSpan w:val="2"/>
          </w:tcPr>
          <w:p w:rsidR="00793158" w:rsidRPr="004661CD" w:rsidRDefault="00793158" w:rsidP="00B63C58">
            <w:pPr>
              <w:rPr>
                <w:rFonts w:ascii="华文仿宋" w:eastAsia="华文仿宋" w:hAnsi="华文仿宋"/>
                <w:sz w:val="28"/>
                <w:szCs w:val="28"/>
              </w:rPr>
            </w:pPr>
          </w:p>
        </w:tc>
      </w:tr>
    </w:tbl>
    <w:p w:rsidR="00A9009C" w:rsidRPr="00B63C58" w:rsidRDefault="00A9009C"/>
    <w:sectPr w:rsidR="00A9009C" w:rsidRPr="00B63C5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3E4" w:rsidRDefault="00D363E4" w:rsidP="00D604D5">
      <w:r>
        <w:separator/>
      </w:r>
    </w:p>
  </w:endnote>
  <w:endnote w:type="continuationSeparator" w:id="0">
    <w:p w:rsidR="00D363E4" w:rsidRDefault="00D363E4"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0030101010101"/>
    <w:charset w:val="86"/>
    <w:family w:val="auto"/>
    <w:pitch w:val="variable"/>
    <w:sig w:usb0="800002BF" w:usb1="38CF7CFA"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B63C58" w:rsidRPr="00B63C58">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3E4" w:rsidRDefault="00D363E4" w:rsidP="00D604D5">
      <w:r>
        <w:separator/>
      </w:r>
    </w:p>
  </w:footnote>
  <w:footnote w:type="continuationSeparator" w:id="0">
    <w:p w:rsidR="00D363E4" w:rsidRDefault="00D363E4" w:rsidP="00D60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0B42"/>
    <w:multiLevelType w:val="hybridMultilevel"/>
    <w:tmpl w:val="260028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DA73D12"/>
    <w:multiLevelType w:val="hybridMultilevel"/>
    <w:tmpl w:val="306ACB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9A01B3"/>
    <w:multiLevelType w:val="hybridMultilevel"/>
    <w:tmpl w:val="AED847D6"/>
    <w:lvl w:ilvl="0" w:tplc="3086CAFC">
      <w:start w:val="1"/>
      <w:numFmt w:val="japaneseCounting"/>
      <w:lvlText w:val="%1、"/>
      <w:lvlJc w:val="left"/>
      <w:pPr>
        <w:ind w:left="720" w:hanging="720"/>
      </w:pPr>
      <w:rPr>
        <w:rFonts w:ascii="华文仿宋" w:eastAsia="华文仿宋" w:hAnsi="华文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25200"/>
    <w:rsid w:val="000D41E6"/>
    <w:rsid w:val="001114EC"/>
    <w:rsid w:val="00147BCA"/>
    <w:rsid w:val="00166A4D"/>
    <w:rsid w:val="001A0FF8"/>
    <w:rsid w:val="001C3C90"/>
    <w:rsid w:val="0025268D"/>
    <w:rsid w:val="002C0D47"/>
    <w:rsid w:val="003911DC"/>
    <w:rsid w:val="003A2443"/>
    <w:rsid w:val="003D7F99"/>
    <w:rsid w:val="00434732"/>
    <w:rsid w:val="0044291E"/>
    <w:rsid w:val="004661CD"/>
    <w:rsid w:val="004C0288"/>
    <w:rsid w:val="004C293B"/>
    <w:rsid w:val="004F68A2"/>
    <w:rsid w:val="005220A2"/>
    <w:rsid w:val="005B6100"/>
    <w:rsid w:val="00602884"/>
    <w:rsid w:val="00673758"/>
    <w:rsid w:val="00686EA0"/>
    <w:rsid w:val="0069266B"/>
    <w:rsid w:val="006A7092"/>
    <w:rsid w:val="00721BF1"/>
    <w:rsid w:val="00732C1E"/>
    <w:rsid w:val="00793158"/>
    <w:rsid w:val="008144F1"/>
    <w:rsid w:val="0083551E"/>
    <w:rsid w:val="008D308A"/>
    <w:rsid w:val="008E4222"/>
    <w:rsid w:val="00935CC5"/>
    <w:rsid w:val="00941347"/>
    <w:rsid w:val="00967712"/>
    <w:rsid w:val="00994498"/>
    <w:rsid w:val="009B0F39"/>
    <w:rsid w:val="009C485E"/>
    <w:rsid w:val="00A34BBB"/>
    <w:rsid w:val="00A77EE5"/>
    <w:rsid w:val="00A82B87"/>
    <w:rsid w:val="00A9009C"/>
    <w:rsid w:val="00AD0C0A"/>
    <w:rsid w:val="00AD26F5"/>
    <w:rsid w:val="00AD367B"/>
    <w:rsid w:val="00B27728"/>
    <w:rsid w:val="00B30441"/>
    <w:rsid w:val="00B447A8"/>
    <w:rsid w:val="00B61CC8"/>
    <w:rsid w:val="00B63C58"/>
    <w:rsid w:val="00B6488E"/>
    <w:rsid w:val="00C249E2"/>
    <w:rsid w:val="00C542F7"/>
    <w:rsid w:val="00C74D4D"/>
    <w:rsid w:val="00CB7179"/>
    <w:rsid w:val="00D30A2D"/>
    <w:rsid w:val="00D363E4"/>
    <w:rsid w:val="00D536E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 w:type="paragraph" w:styleId="aa">
    <w:name w:val="List Paragraph"/>
    <w:basedOn w:val="a"/>
    <w:uiPriority w:val="34"/>
    <w:qFormat/>
    <w:rsid w:val="0025268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 w:type="paragraph" w:styleId="aa">
    <w:name w:val="List Paragraph"/>
    <w:basedOn w:val="a"/>
    <w:uiPriority w:val="34"/>
    <w:qFormat/>
    <w:rsid w:val="002526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27AC6-CFFB-474B-831D-C338117A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210</Words>
  <Characters>1200</Characters>
  <Application>Microsoft Office Word</Application>
  <DocSecurity>0</DocSecurity>
  <Lines>10</Lines>
  <Paragraphs>2</Paragraphs>
  <ScaleCrop>false</ScaleCrop>
  <Company>unnamedxuan</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unnamedxuan@qq.com</dc:creator>
  <cp:lastModifiedBy>hp</cp:lastModifiedBy>
  <cp:revision>9</cp:revision>
  <dcterms:created xsi:type="dcterms:W3CDTF">2020-09-30T09:22:00Z</dcterms:created>
  <dcterms:modified xsi:type="dcterms:W3CDTF">2020-09-30T09:26:00Z</dcterms:modified>
</cp:coreProperties>
</file>